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                Finanční partner soutěže město Děčín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1628775</wp:posOffset>
            </wp:positionH>
            <wp:positionV relativeFrom="paragraph">
              <wp:posOffset>571500</wp:posOffset>
            </wp:positionV>
            <wp:extent cx="2508885" cy="2766060"/>
            <wp:effectExtent b="0" l="0" r="0" t="0"/>
            <wp:wrapSquare wrapText="bothSides" distB="0" distT="0" distL="0" distR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2766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hgotginafbs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yv22u6d5bk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gyqd8ceaimn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2hhwxfkcju4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fh9deb9bxvw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uijc3s9vf5j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gpgdgb5fni5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alleqfxqh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d1a1krymbt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bookmarkStart w:colFirst="0" w:colLast="0" w:name="_heading=h.kez8zb6jjguq" w:id="10"/>
      <w:bookmarkEnd w:id="10"/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                        </w:t>
      </w:r>
    </w:p>
    <w:p w:rsidR="00000000" w:rsidDel="00000000" w:rsidP="00000000" w:rsidRDefault="00000000" w:rsidRPr="00000000" w14:paraId="0000000D">
      <w:pPr>
        <w:pStyle w:val="Heading1"/>
        <w:pBdr>
          <w:top w:color="auto" w:space="16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0" w:before="0" w:line="288" w:lineRule="auto"/>
        <w:ind w:firstLine="0"/>
        <w:rPr>
          <w:rFonts w:ascii="Arial" w:cs="Arial" w:eastAsia="Arial" w:hAnsi="Arial"/>
          <w:color w:val="0056b3"/>
          <w:sz w:val="30"/>
          <w:szCs w:val="30"/>
          <w:u w:val="single"/>
        </w:rPr>
      </w:pPr>
      <w:bookmarkStart w:colFirst="0" w:colLast="0" w:name="_heading=h.eganfm4rgh6v" w:id="11"/>
      <w:bookmarkEnd w:id="11"/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                           </w:t>
      </w:r>
      <w:hyperlink r:id="rId8">
        <w:r w:rsidDel="00000000" w:rsidR="00000000" w:rsidRPr="00000000">
          <w:rPr>
            <w:rFonts w:ascii="Arial" w:cs="Arial" w:eastAsia="Arial" w:hAnsi="Arial"/>
            <w:color w:val="0056b3"/>
            <w:sz w:val="30"/>
            <w:szCs w:val="30"/>
            <w:u w:val="single"/>
            <w:rtl w:val="0"/>
          </w:rPr>
          <w:t xml:space="preserve">Okresní rada AŠSK Děčín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pořádá  ve spolupráci s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ZŠ a MŠ Březová, Děčín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rtl w:val="0"/>
        </w:rPr>
        <w:t xml:space="preserve">                              </w:t>
      </w:r>
      <w:r w:rsidDel="00000000" w:rsidR="00000000" w:rsidRPr="00000000">
        <w:rPr>
          <w:b w:val="1"/>
          <w:sz w:val="34"/>
          <w:szCs w:val="34"/>
          <w:rtl w:val="0"/>
        </w:rPr>
        <w:t xml:space="preserve">Okresní turnaj v přehazované kat. III.  </w:t>
      </w:r>
    </w:p>
    <w:p w:rsidR="00000000" w:rsidDel="00000000" w:rsidP="00000000" w:rsidRDefault="00000000" w:rsidRPr="00000000" w14:paraId="00000015">
      <w:pPr>
        <w:widowControl w:val="0"/>
        <w:spacing w:after="0" w:before="0" w:line="310.999992" w:lineRule="auto"/>
        <w:ind w:left="1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   6. - 7. třída dívky</w:t>
      </w:r>
    </w:p>
    <w:p w:rsidR="00000000" w:rsidDel="00000000" w:rsidP="00000000" w:rsidRDefault="00000000" w:rsidRPr="00000000" w14:paraId="00000016">
      <w:pPr>
        <w:widowControl w:val="0"/>
        <w:spacing w:after="0" w:before="0" w:line="310.999992" w:lineRule="auto"/>
        <w:ind w:left="1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     27. 11. 2025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sz w:val="32"/>
          <w:szCs w:val="32"/>
        </w:rPr>
      </w:pPr>
      <w:bookmarkStart w:colFirst="0" w:colLast="0" w:name="_heading=h.gjtdgetv7awq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VŠEOBECNÁ USTANOVENÍ</w:t>
      </w:r>
    </w:p>
    <w:tbl>
      <w:tblPr>
        <w:tblStyle w:val="Table1"/>
        <w:tblW w:w="10890.0" w:type="dxa"/>
        <w:jc w:val="left"/>
        <w:tblInd w:w="-108.0" w:type="dxa"/>
        <w:tblLayout w:type="fixed"/>
        <w:tblLook w:val="0000"/>
      </w:tblPr>
      <w:tblGrid>
        <w:gridCol w:w="570"/>
        <w:gridCol w:w="2115"/>
        <w:gridCol w:w="375"/>
        <w:gridCol w:w="7515"/>
        <w:gridCol w:w="315"/>
        <w:tblGridChange w:id="0">
          <w:tblGrid>
            <w:gridCol w:w="570"/>
            <w:gridCol w:w="2115"/>
            <w:gridCol w:w="375"/>
            <w:gridCol w:w="7515"/>
            <w:gridCol w:w="31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POŘADATEL: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Z pověření Okresní rady AŠSK Děčín ŠSK při ZŠ a MŠ Březová 369/25, Děčín 3, 405 02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Magistrát města Děčín - pořadatel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TERMÍN KONÁNÍ: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27. 11. 2025  čtvrtek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MÍSTO KONÁNÍ: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ZŠ a MŠ Březová 369/25, Děčín 3, 405 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SPORTOVNÍ KANCELÁŘ: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0" w:hanging="2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Pavlína Kopejsková, e-mail: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kopejskova@brezovka.cz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te. 778 545 951  </w:t>
              <w:tab/>
            </w:r>
          </w:p>
          <w:p w:rsidR="00000000" w:rsidDel="00000000" w:rsidP="00000000" w:rsidRDefault="00000000" w:rsidRPr="00000000" w14:paraId="0000002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Adresa: Pavlína Kopejsková, ZŠ a MŠ Březová 369/25, Děčín 3, 405 02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ÚČASTNÍCI: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Řádně přihlášené školy. Družstvo má maximálně 10 hráčů a vedoucího, který musí být v pracovněprávním vztahu s vysílající školou.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KATEGORIE: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57175" cy="34861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700" y="3619980"/>
                                <a:ext cx="2286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57175" cy="348615"/>
                      <wp:effectExtent b="0" l="0" r="0" t="0"/>
                      <wp:wrapNone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3486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III. – základní školy – žáci a odpovídající ročníky víceletých gymnázií, ročník narození 2013, 2012, 2011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Startují pouze žákyně 6. + 7. třídy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 kategorii mohou startovat družstva za těchto podmínek: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Družstvo je složeno z žáků jedné školy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Členové družstva musí odpovídat ročníkem narození a příslušným stupněm vzdělání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Všechny podmínky musí být splněny zároveň.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PŘIHLÁŠKY: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Zasílejte do </w:t>
            </w:r>
            <w:r w:rsidDel="00000000" w:rsidR="00000000" w:rsidRPr="00000000">
              <w:rPr>
                <w:rtl w:val="0"/>
              </w:rPr>
              <w:t xml:space="preserve">25. 11.</w:t>
            </w:r>
            <w:r w:rsidDel="00000000" w:rsidR="00000000" w:rsidRPr="00000000">
              <w:rPr>
                <w:color w:val="000000"/>
                <w:rtl w:val="0"/>
              </w:rPr>
              <w:t xml:space="preserve">. 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 e-mailem spolu s návratkou: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kopejskova@brezovka.cz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na předtištěném formuláři AŠSK. V přihlášce uveďte kategorii, přesný název školy s přesnou adresou (bez zkratek), PSČ, jméno a datum narození hráčů a jméno vedoucího družstva (telefon, e-mail). Přihláška musí být potvrzená ředitelem školy. 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PREZENCE: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Dne </w:t>
            </w:r>
            <w:r w:rsidDel="00000000" w:rsidR="00000000" w:rsidRPr="00000000">
              <w:rPr>
                <w:rtl w:val="0"/>
              </w:rPr>
              <w:t xml:space="preserve">27. 11. 2025 </w:t>
            </w:r>
            <w:r w:rsidDel="00000000" w:rsidR="00000000" w:rsidRPr="00000000">
              <w:rPr>
                <w:color w:val="000000"/>
                <w:rtl w:val="0"/>
              </w:rPr>
              <w:t xml:space="preserve">v době od 8: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color w:val="000000"/>
                <w:rtl w:val="0"/>
              </w:rPr>
              <w:t xml:space="preserve"> hodin do 8: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rtl w:val="0"/>
              </w:rPr>
              <w:t xml:space="preserve">5 hodin, </w:t>
            </w:r>
            <w:r w:rsidDel="00000000" w:rsidR="00000000" w:rsidRPr="00000000">
              <w:rPr>
                <w:rtl w:val="0"/>
              </w:rPr>
              <w:t xml:space="preserve">tělocvična ZŠ a MŠ Březová 369/25, Děčín III. </w:t>
            </w:r>
            <w:r w:rsidDel="00000000" w:rsidR="00000000" w:rsidRPr="00000000">
              <w:rPr>
                <w:color w:val="000000"/>
                <w:rtl w:val="0"/>
              </w:rPr>
              <w:t xml:space="preserve">Vedoucí předloží: soupisku družstva, potvrzenou ředitelem školy; musí být vyznačeno členství v AŠSK ČR. Každý hráč musí mít kartičku pojištěnce.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TECHNICKÁ PORADA: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Proběhne v 8:</w:t>
            </w:r>
            <w:r w:rsidDel="00000000" w:rsidR="00000000" w:rsidRPr="00000000">
              <w:rPr>
                <w:rtl w:val="0"/>
              </w:rPr>
              <w:t xml:space="preserve">45</w:t>
            </w:r>
            <w:r w:rsidDel="00000000" w:rsidR="00000000" w:rsidRPr="00000000">
              <w:rPr>
                <w:color w:val="000000"/>
                <w:rtl w:val="0"/>
              </w:rPr>
              <w:t xml:space="preserve">. Účast alespoň jednoho zástupce družstva na technické poradě je povinná.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ÚČASTNICKÝ POPLATEK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Účastnický poplatek na družstvo činí 200,- Kč.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ZDRAVOTNÍ ZABEZPEČENÍ A DOZOR NAD ŽÁKY: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-709" w:hanging="3"/>
              <w:rPr>
                <w:rFonts w:ascii="Montserrat SemiBold" w:cs="Montserrat SemiBold" w:eastAsia="Montserrat SemiBold" w:hAnsi="Montserrat SemiBold"/>
                <w:color w:val="00005e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Účastníci akce nejsou pořadatelem pojištěni proti úrazům, krádežím ani ztrátám. VV AŠSK ČR doporučuje, aby účastníci uzavřeli individuální úrazové pojištění. Za zdravotní způsobilost odpovídá vysílající škola. Účastníci musí mít s sebou průkazku zdravotní pojišťovny. Dozor nad účastníky zajišťuje v plném rozsahu a po celou dobu soutěže vysílající škola. (Vyhláška MŠMT ČR č.55/2005 §7, odst. 2) Vedoucí družstev odpovídají po celou dobu soutěže za bezpečnost a chování členů výpravy.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1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rFonts w:ascii="Montserrat SemiBold" w:cs="Montserrat SemiBold" w:eastAsia="Montserrat SemiBold" w:hAnsi="Montserrat SemiBold"/>
                <w:color w:val="00005e"/>
                <w:sz w:val="32"/>
                <w:szCs w:val="32"/>
                <w:rtl w:val="0"/>
              </w:rPr>
              <w:t xml:space="preserve">TECHNICKÁ USTANOVENÍ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PODMÍNKY ÚČASTI: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Soutěž je řízena všeobecnými podmínkami AŠSK. V družstvech mohou startovat pouze žáci a žákyně příslušné školy, kteří jsou uvedeni </w:t>
              <w:br w:type="textWrapping"/>
              <w:t xml:space="preserve">na soupisce potvrzené ředitelem školy. 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 zdravotní způsobilost zodpovídá vedoucí družstva. Účastníci nejsou pojištěni proti úrazu a případným ztrátám. Účastníci mají u sebe kartičky zdravotní pojišťovny.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MATERIÁLNÍ ZABEZPEČENÍ: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Každé družstvo musí mít: sadu očíslovaných dresů, vlastní míče </w:t>
              <w:br w:type="textWrapping"/>
              <w:t xml:space="preserve">na rozcvičení, sportovní obuv.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PROTESTY: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Případnou námitku podává vedoucí družstva písemně nebo telefonicky do 15 minut po skončení utkání řediteli soutěže s vkladem 500 Kč. Protesty řeší soutěžní komise. V případě zamítnutí propadá vklad pořadateli.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PŘEDPIS: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Hraje se podle pravidel a soutěžního řádu AŠSK a následných upřesnění. Bezdůvodně opožděný nástup družstva k utkání může znamenat kontumační výsledek.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SYSTÉM SOUTĚŽE: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Bude upřesněn podle počtu přihlášených družstev.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NASAZENÍ DRUŽSTEV: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Proběhne losem před začátkem soutěže.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STANOVENÍ POŘADÍ </w:t>
              <w:br w:type="textWrapping"/>
              <w:t xml:space="preserve">A DALŠÍ PŘEDPISY: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 vítězství ve skupině se přidělují 3 body, za remízu 1 bod. Pokud </w:t>
              <w:br w:type="textWrapping"/>
              <w:t xml:space="preserve">v play off utkání skončí nerozhodně, následují pokutové kopy </w:t>
              <w:br w:type="textWrapping"/>
              <w:t xml:space="preserve">(3 na každé straně, pak do rozhodnutí). 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 skupinách o pořadí rozhoduje</w:t>
            </w:r>
          </w:p>
          <w:p w:rsidR="00000000" w:rsidDel="00000000" w:rsidP="00000000" w:rsidRDefault="00000000" w:rsidRPr="00000000" w14:paraId="00000088">
            <w:pPr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Počet bodů</w:t>
            </w:r>
          </w:p>
          <w:p w:rsidR="00000000" w:rsidDel="00000000" w:rsidP="00000000" w:rsidRDefault="00000000" w:rsidRPr="00000000" w14:paraId="00000089">
            <w:pPr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Vzájemný zápas</w:t>
            </w:r>
          </w:p>
          <w:p w:rsidR="00000000" w:rsidDel="00000000" w:rsidP="00000000" w:rsidRDefault="00000000" w:rsidRPr="00000000" w14:paraId="0000008A">
            <w:pPr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Rozdíl ve skóre</w:t>
            </w:r>
          </w:p>
          <w:p w:rsidR="00000000" w:rsidDel="00000000" w:rsidP="00000000" w:rsidRDefault="00000000" w:rsidRPr="00000000" w14:paraId="0000008B">
            <w:pPr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Počet </w:t>
            </w:r>
            <w:r w:rsidDel="00000000" w:rsidR="00000000" w:rsidRPr="00000000">
              <w:rPr>
                <w:rtl w:val="0"/>
              </w:rPr>
              <w:t xml:space="preserve">dosažených bodů</w:t>
            </w:r>
          </w:p>
          <w:p w:rsidR="00000000" w:rsidDel="00000000" w:rsidP="00000000" w:rsidRDefault="00000000" w:rsidRPr="00000000" w14:paraId="0000008C">
            <w:pPr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Minitabulka</w:t>
            </w:r>
          </w:p>
          <w:p w:rsidR="00000000" w:rsidDel="00000000" w:rsidP="00000000" w:rsidRDefault="00000000" w:rsidRPr="00000000" w14:paraId="0000008D">
            <w:pPr>
              <w:numPr>
                <w:ilvl w:val="3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Los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Všechna družstva obdrží diplomy.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První tři družstva obdrží poháry a medaile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OBČERSTVENÍ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vlastní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DŮLEŽITÉ UPOZORNĚNÍ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Povinností družstev je zúčastnit se zahajovacího i závěrečného ceremoniálu. V případě nedodržení tohoto požadavku bude tým hodnocen mimo soutěž!  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Nedodrží-li kterékoliv družstvo podmínky účasti s úmyslem získat neoprávněnou výhodu, může být rozhodnutím pořadatele ze soutěže vyloučeno. Takto vyloučené družstvo je následně povinno uhradit pořadateli vzniklé náklady na jeho účast.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DOPRAVNÍ DISPOZICE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. 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OSTATNÍ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Ředitel soutěže</w:t>
        <w:tab/>
        <w:tab/>
        <w:tab/>
        <w:tab/>
        <w:tab/>
        <w:tab/>
        <w:tab/>
        <w:t xml:space="preserve">Předseda OR AŠSK  Děčín</w:t>
        <w:tab/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Mgr. </w:t>
      </w:r>
      <w:r w:rsidDel="00000000" w:rsidR="00000000" w:rsidRPr="00000000">
        <w:rPr>
          <w:rtl w:val="0"/>
        </w:rPr>
        <w:t xml:space="preserve">Pavlína Kopejsková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 Mgr. Vladimír Trčka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0005e"/>
          <w:sz w:val="32"/>
          <w:szCs w:val="32"/>
          <w:rtl w:val="0"/>
        </w:rPr>
        <w:t xml:space="preserve">LOGA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2068511</wp:posOffset>
            </wp:positionH>
            <wp:positionV relativeFrom="paragraph">
              <wp:posOffset>0</wp:posOffset>
            </wp:positionV>
            <wp:extent cx="2508885" cy="2766060"/>
            <wp:effectExtent b="0" l="0" r="0" t="0"/>
            <wp:wrapSquare wrapText="bothSides" distB="0" distT="0" distL="0" distR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2766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Montserrat SemiBold" w:cs="Montserrat SemiBold" w:eastAsia="Montserrat SemiBold" w:hAnsi="Montserrat SemiBold"/>
          <w:color w:val="00005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bookmarkStart w:colFirst="0" w:colLast="0" w:name="_heading=h.30j0zll" w:id="13"/>
      <w:bookmarkEnd w:id="13"/>
      <w:r w:rsidDel="00000000" w:rsidR="00000000" w:rsidRPr="00000000">
        <w:rPr>
          <w:color w:val="000000"/>
          <w:rtl w:val="0"/>
        </w:rPr>
        <w:t xml:space="preserve">                                 </w:t>
      </w:r>
      <w:r w:rsidDel="00000000" w:rsidR="00000000" w:rsidRPr="00000000">
        <w:rPr/>
        <w:drawing>
          <wp:inline distB="0" distT="0" distL="0" distR="0">
            <wp:extent cx="3810000" cy="685800"/>
            <wp:effectExtent b="0" l="0" r="0" t="0"/>
            <wp:docPr descr="ZŠ A MŠ BŘEZOVÁ - DĚČÍN" id="10" name="image1.png"/>
            <a:graphic>
              <a:graphicData uri="http://schemas.openxmlformats.org/drawingml/2006/picture">
                <pic:pic>
                  <pic:nvPicPr>
                    <pic:cNvPr descr="ZŠ A MŠ BŘEZOVÁ - DĚČÍN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02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cs-CZ"/>
      </w:rPr>
    </w:rPrDefault>
    <w:pPrDefault>
      <w:pPr>
        <w:spacing w:after="120" w:before="120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hanging="1"/>
    </w:pPr>
    <w:rPr>
      <w:rFonts w:ascii="Montserrat SemiBold" w:cs="Montserrat SemiBold" w:eastAsia="Montserrat SemiBold" w:hAnsi="Montserrat SemiBold"/>
      <w:color w:val="00005e"/>
      <w:sz w:val="32"/>
      <w:szCs w:val="32"/>
    </w:rPr>
  </w:style>
  <w:style w:type="paragraph" w:styleId="Heading2">
    <w:name w:val="heading 2"/>
    <w:basedOn w:val="Normal"/>
    <w:next w:val="Normal"/>
    <w:pPr>
      <w:ind w:left="0" w:hanging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0" w:hanging="1"/>
    </w:pPr>
    <w:rPr>
      <w:rFonts w:ascii="Montserrat SemiBold" w:cs="Montserrat SemiBold" w:eastAsia="Montserrat SemiBold" w:hAnsi="Montserrat SemiBold"/>
      <w:color w:val="00005e"/>
      <w:sz w:val="32"/>
      <w:szCs w:val="32"/>
    </w:rPr>
  </w:style>
  <w:style w:type="paragraph" w:styleId="Heading2">
    <w:name w:val="heading 2"/>
    <w:basedOn w:val="Normal"/>
    <w:next w:val="Normal"/>
    <w:pPr>
      <w:ind w:left="0" w:hanging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kopejskova@brezovka.cz" TargetMode="External"/><Relationship Id="rId10" Type="http://schemas.openxmlformats.org/officeDocument/2006/relationships/image" Target="media/image3.png"/><Relationship Id="rId12" Type="http://schemas.openxmlformats.org/officeDocument/2006/relationships/image" Target="media/image1.png"/><Relationship Id="rId9" Type="http://schemas.openxmlformats.org/officeDocument/2006/relationships/hyperlink" Target="mailto:kopejskova@brezovka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ordecin.assk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5XwYba+o9wntUKIGnpWinc/qw==">CgMxLjAyCGguZ2pkZ3hzMg5oLmhnb3RnaW5hZmJzYTINaC55djIydTZkNWJrbjIOaC5neXFkOGNlYWltbmEyDmguMmhod3hma2NqdTQzMg5oLmZoOWRlYjlieHZ3bjIOaC51aWpjM3M5dmY1amMyDmguZ3BnZGdiNWZuaTVkMgxoLmFsbGVxZnhxaDMyDWguZDFhMWtyeW1idGkyDmgua2V6OHpiNmpqZ3VxMg5oLmVnYW5mbTRyZ2g2djIOaC5nanRkZ2V0djdhd3EyCWguMzBqMHpsbDgAciExZjNHWHd4MFloUU04VnJwM3FYaE1ZNDJ0bnNfeHFHQ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